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附件1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“青年服务国家”社会实践项目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为深入贯彻落实党的二十大精神，引领我校青年更好的了解国情、社情和民情，校团委拟面向各培养单位开展社会实践项目申报工作。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一、实践专项设立</w:t>
      </w:r>
    </w:p>
    <w:p>
      <w:pPr>
        <w:pStyle w:val="3"/>
        <w:widowControl/>
        <w:shd w:val="clear" w:color="auto" w:fill="FFFFFF"/>
        <w:spacing w:beforeAutospacing="0" w:after="15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 1、该项目用于支持我校学生利用暑假时间，深入基层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红色基地、到企事业单位、乡村城镇或边远地区开展社会实践工作，不包括科普志愿服务。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="150" w:afterAutospacing="0" w:line="60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项目支持对象为我校在读学生。</w:t>
      </w:r>
    </w:p>
    <w:p>
      <w:pPr>
        <w:pStyle w:val="3"/>
        <w:widowControl/>
        <w:shd w:val="clear" w:color="auto" w:fill="FFFFFF"/>
        <w:spacing w:beforeAutospacing="0" w:after="15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3、拟设立项目30至60个，每个项目资助金额为3万至5万。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二、实践主题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1、党的二十大精神学习行动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600" w:lineRule="exact"/>
        <w:ind w:firstLine="64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通过红色主题</w:t>
      </w:r>
      <w:r>
        <w:rPr>
          <w:rFonts w:ascii="仿宋_GB2312" w:hAnsi="仿宋_GB2312" w:eastAsia="仿宋_GB2312" w:cs="仿宋_GB2312"/>
          <w:sz w:val="32"/>
          <w:szCs w:val="32"/>
        </w:rPr>
        <w:t>宣讲、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重走红色足迹、追溯红色记忆、访谈红色人物、挖掘红色故事、体悟红色文化等多种方式，创新</w:t>
      </w:r>
      <w:r>
        <w:rPr>
          <w:rFonts w:ascii="仿宋_GB2312" w:hAnsi="仿宋_GB2312" w:eastAsia="仿宋_GB2312" w:cs="仿宋_GB2312"/>
          <w:sz w:val="32"/>
          <w:szCs w:val="32"/>
        </w:rPr>
        <w:t>学习实践载体，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提高理论应用</w:t>
      </w:r>
      <w:r>
        <w:rPr>
          <w:rFonts w:ascii="仿宋_GB2312" w:hAnsi="仿宋_GB2312" w:eastAsia="仿宋_GB2312" w:cs="仿宋_GB2312"/>
          <w:sz w:val="32"/>
          <w:szCs w:val="32"/>
        </w:rPr>
        <w:t>成效，引领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</w:t>
      </w:r>
      <w:r>
        <w:rPr>
          <w:rFonts w:ascii="仿宋_GB2312" w:hAnsi="仿宋_GB2312" w:eastAsia="仿宋_GB2312" w:cs="仿宋_GB2312"/>
          <w:sz w:val="32"/>
          <w:szCs w:val="32"/>
        </w:rPr>
        <w:t>青年</w:t>
      </w:r>
      <w:r>
        <w:rPr>
          <w:rFonts w:hint="eastAsia" w:ascii="仿宋_GB2312" w:hAnsi="仿宋_GB2312" w:eastAsia="仿宋_GB2312" w:cs="仿宋_GB2312"/>
          <w:sz w:val="32"/>
          <w:szCs w:val="32"/>
        </w:rPr>
        <w:t>师生深入黑龙江</w:t>
      </w:r>
      <w:r>
        <w:rPr>
          <w:rFonts w:ascii="仿宋_GB2312" w:hAnsi="仿宋_GB2312" w:eastAsia="仿宋_GB2312" w:cs="仿宋_GB2312"/>
          <w:sz w:val="32"/>
          <w:szCs w:val="32"/>
        </w:rPr>
        <w:t>共青农场、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</w:t>
      </w:r>
      <w:r>
        <w:rPr>
          <w:rFonts w:ascii="仿宋_GB2312" w:hAnsi="仿宋_GB2312" w:eastAsia="仿宋_GB2312" w:cs="仿宋_GB2312"/>
          <w:sz w:val="32"/>
          <w:szCs w:val="32"/>
        </w:rPr>
        <w:t>雄安新区、宁夏西海固、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</w:t>
      </w:r>
      <w:r>
        <w:rPr>
          <w:rFonts w:ascii="仿宋_GB2312" w:hAnsi="仿宋_GB2312" w:eastAsia="仿宋_GB2312" w:cs="仿宋_GB2312"/>
          <w:sz w:val="32"/>
          <w:szCs w:val="32"/>
        </w:rPr>
        <w:t>虹口、浙江安吉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湖南十八洞村、贵州黔西县苗族村寨化屋村、厦门鼓浪屿</w:t>
      </w:r>
      <w:r>
        <w:rPr>
          <w:rFonts w:hint="eastAsia" w:ascii="仿宋_GB2312" w:hAnsi="仿宋_GB2312" w:eastAsia="仿宋_GB2312" w:cs="仿宋_GB2312"/>
          <w:sz w:val="32"/>
          <w:szCs w:val="32"/>
        </w:rPr>
        <w:t>、河北正定、浙江浦江县</w:t>
      </w:r>
      <w:r>
        <w:rPr>
          <w:rFonts w:ascii="仿宋_GB2312" w:hAnsi="仿宋_GB2312" w:eastAsia="仿宋_GB2312" w:cs="仿宋_GB2312"/>
          <w:sz w:val="32"/>
          <w:szCs w:val="32"/>
        </w:rPr>
        <w:t>等重点地区感受发展变化，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不断增进对党的创新理论的政治认同、思想认同、理论认同、情感认同，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凝心铸魂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生动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实践中“学思想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、强党性、重实践、建新功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spacing w:line="600" w:lineRule="exact"/>
        <w:ind w:firstLine="64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体悟社会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发展成就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活动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聚焦过去五年和新时代十年以来党和国家取得的历史性成就、发生的历史性变革，组织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青年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师生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京华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大地为课堂，以经济、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文化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、科技、生态、民生、国防等各个领域的一系列突破性进展和标志性成果等为现实教材，在国情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社情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考察、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乡间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田野调查、基层治理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参与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、特色产业调研中了解国情、体察社情、倾听民情，深刻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领会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两个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确立”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决定性意义，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增强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四个意识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坚定“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四个自信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做到“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两个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维护”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，以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青年视角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感悟新时代首都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发展变化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和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一核两翼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发展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成就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600" w:lineRule="exact"/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bidi="ar"/>
        </w:rPr>
        <w:t>科技成果调研行动</w:t>
      </w:r>
    </w:p>
    <w:p>
      <w:pPr>
        <w:widowControl/>
        <w:numPr>
          <w:ilvl w:val="255"/>
          <w:numId w:val="0"/>
        </w:numPr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着眼世界学术前沿和国家重大需求，走向科技重镇、企业工厂、科研机构开展成果调研，通过分析科技发展的各个要素，深入挖掘科学家精神，在实践中传承老科学家精神，弘扬新时代科学家精神，让研究成果惠及国家和人民，助力科技自立自强。</w:t>
      </w:r>
    </w:p>
    <w:p>
      <w:pPr>
        <w:widowControl/>
        <w:numPr>
          <w:ilvl w:val="255"/>
          <w:numId w:val="0"/>
        </w:numPr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numPr>
          <w:ilvl w:val="0"/>
          <w:numId w:val="3"/>
        </w:numPr>
        <w:spacing w:line="600" w:lineRule="exact"/>
        <w:ind w:firstLine="643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bidi="ar"/>
        </w:rPr>
        <w:t>乡村振兴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  <w:lang w:bidi="ar"/>
        </w:rPr>
        <w:t>行动</w:t>
      </w:r>
    </w:p>
    <w:p>
      <w:pPr>
        <w:widowControl/>
        <w:numPr>
          <w:ilvl w:val="255"/>
          <w:numId w:val="0"/>
        </w:numPr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通过深入政府机关</w:t>
      </w:r>
      <w:r>
        <w:rPr>
          <w:rFonts w:ascii="仿宋_GB2312" w:hAnsi="仿宋_GB2312" w:eastAsia="仿宋_GB2312" w:cs="仿宋_GB2312"/>
          <w:sz w:val="32"/>
          <w:szCs w:val="32"/>
        </w:rPr>
        <w:t>、乡镇街道、田间地头、企业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ascii="仿宋_GB2312" w:hAnsi="仿宋_GB2312" w:eastAsia="仿宋_GB2312" w:cs="仿宋_GB2312"/>
          <w:sz w:val="32"/>
          <w:szCs w:val="32"/>
        </w:rPr>
        <w:t>调查走访，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加强科学研究</w:t>
      </w:r>
      <w:r>
        <w:rPr>
          <w:rFonts w:ascii="仿宋_GB2312" w:hAnsi="仿宋_GB2312" w:eastAsia="仿宋_GB2312" w:cs="仿宋_GB2312"/>
          <w:sz w:val="32"/>
          <w:szCs w:val="32"/>
        </w:rPr>
        <w:t>、技术创新、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成果转化、</w:t>
      </w:r>
      <w:r>
        <w:rPr>
          <w:rFonts w:ascii="仿宋_GB2312" w:hAnsi="仿宋_GB2312" w:eastAsia="仿宋_GB2312" w:cs="仿宋_GB2312"/>
          <w:sz w:val="32"/>
          <w:szCs w:val="32"/>
        </w:rPr>
        <w:t>教育关爱、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法律援助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心理关怀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</w:t>
      </w:r>
      <w:r>
        <w:rPr>
          <w:rFonts w:ascii="仿宋_GB2312" w:hAnsi="仿宋_GB2312" w:eastAsia="仿宋_GB2312" w:cs="仿宋_GB2312"/>
          <w:sz w:val="32"/>
          <w:szCs w:val="32"/>
        </w:rPr>
        <w:t>帮扶、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文明建设</w:t>
      </w:r>
      <w:r>
        <w:rPr>
          <w:rFonts w:ascii="仿宋_GB2312" w:hAnsi="仿宋_GB2312" w:eastAsia="仿宋_GB2312" w:cs="仿宋_GB2312"/>
          <w:sz w:val="32"/>
          <w:szCs w:val="32"/>
        </w:rPr>
        <w:t>、基层治理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，引领</w:t>
      </w:r>
      <w:r>
        <w:rPr>
          <w:rFonts w:ascii="仿宋_GB2312" w:hAnsi="仿宋_GB2312" w:eastAsia="仿宋_GB2312" w:cs="仿宋_GB2312"/>
          <w:sz w:val="32"/>
          <w:szCs w:val="32"/>
        </w:rPr>
        <w:t>广大青年</w:t>
      </w:r>
      <w:r>
        <w:rPr>
          <w:rFonts w:hint="eastAsia" w:ascii="仿宋_GB2312" w:hAnsi="仿宋_GB2312" w:eastAsia="仿宋_GB2312" w:cs="仿宋_GB2312"/>
          <w:sz w:val="32"/>
          <w:szCs w:val="32"/>
        </w:rPr>
        <w:t>师生把课堂学习和乡村振兴紧密结合起来，在服务乡村振兴战略中解民生、治学问、</w:t>
      </w:r>
      <w:r>
        <w:rPr>
          <w:rFonts w:ascii="仿宋_GB2312" w:hAnsi="仿宋_GB2312" w:eastAsia="仿宋_GB2312" w:cs="仿宋_GB2312"/>
          <w:sz w:val="32"/>
          <w:szCs w:val="32"/>
        </w:rPr>
        <w:t>做贡献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numPr>
          <w:ilvl w:val="255"/>
          <w:numId w:val="0"/>
        </w:numPr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Autospacing="0" w:after="120" w:afterAutospacing="0" w:line="600" w:lineRule="exact"/>
        <w:ind w:firstLine="643" w:firstLineChars="200"/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b/>
          <w:bCs/>
          <w:color w:val="000000"/>
          <w:sz w:val="32"/>
          <w:szCs w:val="32"/>
          <w:lang w:bidi="ar"/>
        </w:rPr>
        <w:t>生态文明建设调研与参与活动</w:t>
      </w:r>
    </w:p>
    <w:p>
      <w:pPr>
        <w:pStyle w:val="3"/>
        <w:widowControl/>
        <w:numPr>
          <w:ilvl w:val="255"/>
          <w:numId w:val="0"/>
        </w:numPr>
        <w:shd w:val="clear" w:color="auto" w:fill="FFFFFF"/>
        <w:spacing w:beforeAutospacing="0" w:after="120" w:afterAutospacing="0" w:line="60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实地生态调研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、环保政策</w:t>
      </w:r>
      <w:r>
        <w:rPr>
          <w:rFonts w:ascii="仿宋_GB2312" w:hAnsi="仿宋_GB2312" w:eastAsia="仿宋_GB2312" w:cs="仿宋_GB2312"/>
          <w:sz w:val="32"/>
          <w:szCs w:val="32"/>
        </w:rPr>
        <w:t>咨询、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环保科技创新、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艺术宣传创作等方式，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在节能减排、污染防治、绿色农业、数字治理、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低碳循环、产业发展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等方面贡献青春智慧，引领广大青年</w:t>
      </w:r>
      <w:r>
        <w:rPr>
          <w:rFonts w:hint="eastAsia" w:ascii="仿宋_GB2312" w:hAnsi="仿宋_GB2312" w:eastAsia="仿宋_GB2312" w:cs="仿宋_GB2312"/>
          <w:sz w:val="32"/>
          <w:szCs w:val="32"/>
        </w:rPr>
        <w:t>师生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打响“</w:t>
      </w:r>
      <w:r>
        <w:rPr>
          <w:rFonts w:hint="eastAsia" w:ascii="仿宋_GB2312" w:hAnsi="仿宋_GB2312" w:eastAsia="仿宋_GB2312" w:cs="仿宋_GB2312"/>
          <w:sz w:val="32"/>
          <w:szCs w:val="32"/>
        </w:rPr>
        <w:t>蓝天碧水净土保卫战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”，以实际行动助力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生态意识文明、生态行为文明、生态制度文明、生态产业文明，努力建设人与自然和谐共生的中国式现代化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。</w:t>
      </w:r>
    </w:p>
    <w:p>
      <w:pPr>
        <w:widowControl/>
        <w:spacing w:line="600" w:lineRule="exact"/>
        <w:ind w:firstLine="64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此外，各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单位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也可根据自身实际、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学科特色、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历史传承选择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契合时代主题的实践方向。</w:t>
      </w:r>
    </w:p>
    <w:p>
      <w:pPr>
        <w:widowControl/>
        <w:spacing w:line="600" w:lineRule="exact"/>
        <w:ind w:firstLine="64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三、成果提交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实践结束两周内，各团队整理上交社会实践成果，包含但不限于以下内容：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（1）《社会实践论文》、《社会调查报告》或《团队总结报告》三者中选择一份提交；</w:t>
      </w:r>
    </w:p>
    <w:p>
      <w:pPr>
        <w:spacing w:line="60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（2）10张以上有代表性的实践照片（分辨率1280×960以上，JPEG格式）以及相关影像资料；</w:t>
      </w:r>
    </w:p>
    <w:p>
      <w:pPr>
        <w:spacing w:line="60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（3）每名团队成员撰写的个人总结（2000字左右，个人总结应结合具体过程，侧重个人经历和心得体会）。在围绕主题的前提下，体裁与风格可灵活选择；</w:t>
      </w:r>
    </w:p>
    <w:p>
      <w:pPr>
        <w:spacing w:line="60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（4）团队制作一个5-10分钟的实践总结视频（横屏拍摄，MP3或AVI格式）；</w:t>
      </w:r>
    </w:p>
    <w:p>
      <w:pPr>
        <w:spacing w:line="60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（5）团队实践新闻稿件至少1篇，图文并茂，结构清晰，重点突出；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（6）社会媒体对实践活动的相关报道。（选交）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（7）其他有价值有意义的实践成果。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各项目资金发放以成果提交情况为准，未按要求提交成果的团队将不予资金支持。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五、实践要求及注意事项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组织各项实践活动时，落实“谁派出，谁负责”“谁的人，谁负责”的工作要求，开展活动前和过程中要充分研判部署，密切关注天气变化和自然地质条件，始终把安全工作置于首位，通过组织安全教育，做好处置突发情况的应急预案演练，确保学生生命安全万无一失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、严格遵守实践单位的各项规章制度，保守可能接触的国家秘密、商业秘密、技术秘密，按时保质保量完成任务，并按要求进行总结反馈。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、实践活动要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紧密结合本地本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单位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实际，结合不同类别、不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同专业的学生实际，广泛动员、积极作为、下沉重心，调动广大学生参与实践的积极性，充分发挥学生的主动性和创造性，合理安排社会实践活动的领域分配，做到覆盖广、有重点，深入开展与活动主题相关的社会实践活动。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六、报送方式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申报的团队将同步报送至2023年“青年服务国家”首都大学生暑期社会实践。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实践团负责人需填写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（点击以下链接下载），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日前将电子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word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版和盖章后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扫描版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报送至校团委，邮箱：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"mailto:tuanwei@ucas.ac.cn。" </w:instrText>
      </w:r>
      <w:r>
        <w:rPr>
          <w:color w:val="auto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tuanwei@ucas.ac.cn。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文件链接：</w:t>
      </w:r>
      <w:r>
        <w:rPr>
          <w:rFonts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auto"/>
          <w:sz w:val="24"/>
          <w:szCs w:val="24"/>
        </w:rPr>
        <w:instrText xml:space="preserve"> HYPERLINK "https://youth.ucas.ac.cn/index.php/zh-cn/2016-10-17-09-30-25/zyxz/3686-2023-06-08-13-37-45" </w:instrText>
      </w:r>
      <w:r>
        <w:rPr>
          <w:rFonts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color w:val="auto"/>
          <w:sz w:val="24"/>
          <w:szCs w:val="24"/>
        </w:rPr>
        <w:t>"青年服务国家"社会实践项目资源下载 (ucas.ac.cn)</w:t>
      </w:r>
      <w:r>
        <w:rPr>
          <w:rFonts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7"/>
        <w:spacing w:line="600" w:lineRule="exact"/>
        <w:ind w:firstLine="0" w:firstLineChars="0"/>
        <w:rPr>
          <w:rFonts w:ascii="仿宋_GB2312" w:hAnsi="仿宋" w:cs="仿宋"/>
          <w:color w:val="auto"/>
        </w:rPr>
      </w:pPr>
    </w:p>
    <w:p>
      <w:pPr>
        <w:pStyle w:val="7"/>
        <w:spacing w:line="600" w:lineRule="exact"/>
        <w:ind w:firstLine="0" w:firstLineChars="0"/>
        <w:rPr>
          <w:rFonts w:ascii="仿宋_GB2312" w:hAnsi="仿宋" w:cs="仿宋"/>
          <w:color w:val="auto"/>
        </w:rPr>
      </w:pPr>
    </w:p>
    <w:p>
      <w:pPr>
        <w:pStyle w:val="7"/>
        <w:spacing w:line="600" w:lineRule="exact"/>
        <w:rPr>
          <w:rFonts w:ascii="仿宋_GB2312" w:hAnsi="仿宋" w:cs="仿宋"/>
          <w:color w:val="auto"/>
        </w:rPr>
      </w:pPr>
    </w:p>
    <w:p>
      <w:pPr>
        <w:pStyle w:val="7"/>
        <w:jc w:val="center"/>
        <w:rPr>
          <w:rFonts w:ascii="仿宋_GB2312" w:hAnsi="仿宋" w:cs="仿宋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52085"/>
    <w:multiLevelType w:val="singleLevel"/>
    <w:tmpl w:val="CCE52085"/>
    <w:lvl w:ilvl="0" w:tentative="0">
      <w:start w:val="3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F6B3FC83"/>
    <w:multiLevelType w:val="singleLevel"/>
    <w:tmpl w:val="F6B3FC83"/>
    <w:lvl w:ilvl="0" w:tentative="0">
      <w:start w:val="2"/>
      <w:numFmt w:val="decimal"/>
      <w:suff w:val="nothing"/>
      <w:lvlText w:val="%1、"/>
      <w:lvlJc w:val="left"/>
      <w:pPr>
        <w:ind w:left="640" w:firstLine="0"/>
      </w:pPr>
    </w:lvl>
  </w:abstractNum>
  <w:abstractNum w:abstractNumId="2">
    <w:nsid w:val="0ABF12DE"/>
    <w:multiLevelType w:val="singleLevel"/>
    <w:tmpl w:val="0ABF12D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TAxNTYyZjcxMzZjM2M1OTQ3NDVhMjU1YTZhZTkifQ=="/>
  </w:docVars>
  <w:rsids>
    <w:rsidRoot w:val="2E295CFF"/>
    <w:rsid w:val="098766B0"/>
    <w:rsid w:val="2E295CFF"/>
    <w:rsid w:val="32D31498"/>
    <w:rsid w:val="7678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eastAsia="仿宋" w:asciiTheme="minorAscii" w:hAnsiTheme="minorAscii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公文正文-1"/>
    <w:basedOn w:val="1"/>
    <w:qFormat/>
    <w:uiPriority w:val="0"/>
    <w:pPr>
      <w:widowControl/>
      <w:spacing w:line="560" w:lineRule="exact"/>
      <w:ind w:firstLine="640" w:firstLineChars="200"/>
    </w:pPr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2023-06-25T13:53:00Z</dcterms:created>
  <dc:creator>郑雨佳</dc:creator>
  <cp:lastModifiedBy>郑雨佳</cp:lastModifiedBy>
  <dcterms:modified xsi:type="dcterms:W3CDTF">2023-06-25T13:53:58Z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FC0B89818E654FF38EE49795FB07857D_11</vt:lpwstr>
  </property>
</Properties>
</file>