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8306"/>
      </w:tblGrid>
      <w:tr w:rsidR="00BF4FA4" w:rsidTr="00BF4FA4">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BF4FA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306"/>
                  </w:tblGrid>
                  <w:tr w:rsidR="00BF4FA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06"/>
                        </w:tblGrid>
                        <w:tr w:rsidR="00BF4FA4" w:rsidTr="00BF4FA4">
                          <w:tc>
                            <w:tcPr>
                              <w:tcW w:w="0" w:type="auto"/>
                              <w:tcMar>
                                <w:top w:w="0" w:type="dxa"/>
                                <w:left w:w="270" w:type="dxa"/>
                                <w:bottom w:w="135" w:type="dxa"/>
                                <w:right w:w="270" w:type="dxa"/>
                              </w:tcMar>
                            </w:tcPr>
                            <w:p w:rsidR="00BF4FA4" w:rsidRDefault="00BF4FA4">
                              <w:pPr>
                                <w:spacing w:line="300" w:lineRule="atLeast"/>
                                <w:jc w:val="center"/>
                                <w:rPr>
                                  <w:rFonts w:ascii="Lucida Sans Unicode" w:eastAsia="宋体" w:hAnsi="Lucida Sans Unicode" w:cs="Lucida Sans Unicode"/>
                                  <w:color w:val="656565"/>
                                  <w:sz w:val="18"/>
                                  <w:szCs w:val="18"/>
                                </w:rPr>
                              </w:pPr>
                            </w:p>
                          </w:tc>
                        </w:tr>
                      </w:tbl>
                      <w:p w:rsidR="00BF4FA4" w:rsidRDefault="00BF4FA4">
                        <w:pPr>
                          <w:rPr>
                            <w:rFonts w:ascii="宋体" w:eastAsia="宋体" w:hAnsi="宋体" w:cs="宋体"/>
                            <w:szCs w:val="21"/>
                          </w:rPr>
                        </w:pPr>
                      </w:p>
                    </w:tc>
                  </w:tr>
                </w:tbl>
                <w:p w:rsidR="00BF4FA4" w:rsidRDefault="00BF4FA4">
                  <w:pPr>
                    <w:rPr>
                      <w:rFonts w:ascii="宋体" w:eastAsia="宋体" w:hAnsi="宋体" w:cs="宋体"/>
                      <w:szCs w:val="21"/>
                    </w:rPr>
                  </w:pPr>
                </w:p>
              </w:tc>
            </w:tr>
          </w:tbl>
          <w:p w:rsidR="00BF4FA4" w:rsidRDefault="00BF4FA4">
            <w:pPr>
              <w:jc w:val="center"/>
              <w:rPr>
                <w:rFonts w:ascii="宋体" w:eastAsia="宋体" w:hAnsi="宋体" w:cs="宋体"/>
                <w:szCs w:val="21"/>
              </w:rPr>
            </w:pPr>
          </w:p>
        </w:tc>
      </w:tr>
      <w:tr w:rsidR="00BF4FA4" w:rsidTr="00BF4FA4">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8306"/>
            </w:tblGrid>
            <w:tr w:rsidR="00BF4FA4">
              <w:trPr>
                <w:jc w:val="center"/>
              </w:trPr>
              <w:tc>
                <w:tcPr>
                  <w:tcW w:w="0" w:type="auto"/>
                  <w:hideMark/>
                </w:tcPr>
                <w:p w:rsidR="00BF4FA4" w:rsidRDefault="00BF4FA4">
                  <w:pPr>
                    <w:rPr>
                      <w:rFonts w:ascii="宋体" w:eastAsia="宋体" w:hAnsi="宋体" w:cs="宋体"/>
                      <w:szCs w:val="21"/>
                    </w:rPr>
                  </w:pPr>
                </w:p>
              </w:tc>
            </w:tr>
          </w:tbl>
          <w:p w:rsidR="00BF4FA4" w:rsidRDefault="00BF4FA4">
            <w:pPr>
              <w:jc w:val="center"/>
              <w:rPr>
                <w:rFonts w:ascii="宋体" w:eastAsia="宋体" w:hAnsi="宋体" w:cs="宋体"/>
                <w:szCs w:val="21"/>
              </w:rPr>
            </w:pPr>
          </w:p>
        </w:tc>
      </w:tr>
      <w:tr w:rsidR="00BF4FA4" w:rsidTr="00BF4FA4">
        <w:tc>
          <w:tcPr>
            <w:tcW w:w="0" w:type="auto"/>
            <w:tcBorders>
              <w:top w:val="nil"/>
              <w:bottom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8306"/>
            </w:tblGrid>
            <w:tr w:rsidR="00BF4FA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306"/>
                  </w:tblGrid>
                  <w:tr w:rsidR="00BF4FA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036"/>
                        </w:tblGrid>
                        <w:tr w:rsidR="00BF4FA4">
                          <w:tc>
                            <w:tcPr>
                              <w:tcW w:w="0" w:type="auto"/>
                              <w:tcMar>
                                <w:top w:w="0" w:type="dxa"/>
                                <w:left w:w="135" w:type="dxa"/>
                                <w:bottom w:w="0" w:type="dxa"/>
                                <w:right w:w="135" w:type="dxa"/>
                              </w:tcMar>
                              <w:hideMark/>
                            </w:tcPr>
                            <w:p w:rsidR="00BF4FA4" w:rsidRDefault="00BF4FA4">
                              <w:pPr>
                                <w:jc w:val="center"/>
                                <w:rPr>
                                  <w:rFonts w:ascii="宋体" w:eastAsia="宋体" w:hAnsi="宋体" w:cs="宋体"/>
                                  <w:szCs w:val="21"/>
                                </w:rPr>
                              </w:pPr>
                              <w:r>
                                <w:rPr>
                                  <w:noProof/>
                                  <w:color w:val="3894C1"/>
                                  <w:szCs w:val="21"/>
                                </w:rPr>
                                <w:drawing>
                                  <wp:inline distT="0" distB="0" distL="0" distR="0">
                                    <wp:extent cx="5372100" cy="3257550"/>
                                    <wp:effectExtent l="0" t="0" r="0" b="0"/>
                                    <wp:docPr id="7" name="图片 7" descr="https://gallery.mailchimp.com/7251ff0af2ea5314dd7f5b33b/images/150fe534-3cdc-4ff6-ac23-d8c170d42b66.pn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gallery.mailchimp.com/7251ff0af2ea5314dd7f5b33b/images/150fe534-3cdc-4ff6-ac23-d8c170d42b66.pn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257550"/>
                                            </a:xfrm>
                                            <a:prstGeom prst="rect">
                                              <a:avLst/>
                                            </a:prstGeom>
                                            <a:noFill/>
                                            <a:ln>
                                              <a:noFill/>
                                            </a:ln>
                                          </pic:spPr>
                                        </pic:pic>
                                      </a:graphicData>
                                    </a:graphic>
                                  </wp:inline>
                                </w:drawing>
                              </w:r>
                            </w:p>
                          </w:tc>
                        </w:tr>
                      </w:tbl>
                      <w:p w:rsidR="00BF4FA4" w:rsidRDefault="00BF4FA4">
                        <w:pPr>
                          <w:rPr>
                            <w:rFonts w:ascii="宋体" w:eastAsia="宋体" w:hAnsi="宋体" w:cs="宋体"/>
                            <w:szCs w:val="21"/>
                          </w:rPr>
                        </w:pPr>
                      </w:p>
                    </w:tc>
                  </w:tr>
                </w:tbl>
                <w:p w:rsidR="00BF4FA4" w:rsidRDefault="00BF4FA4">
                  <w:pPr>
                    <w:rPr>
                      <w:rFonts w:ascii="宋体" w:eastAsia="宋体" w:hAnsi="宋体" w:cs="宋体"/>
                      <w:szCs w:val="21"/>
                    </w:rPr>
                  </w:pPr>
                </w:p>
              </w:tc>
            </w:tr>
          </w:tbl>
          <w:p w:rsidR="00BF4FA4" w:rsidRDefault="00BF4FA4">
            <w:pPr>
              <w:jc w:val="center"/>
              <w:rPr>
                <w:rFonts w:ascii="宋体" w:eastAsia="宋体" w:hAnsi="宋体" w:cs="宋体"/>
                <w:szCs w:val="21"/>
              </w:rPr>
            </w:pPr>
          </w:p>
        </w:tc>
      </w:tr>
    </w:tbl>
    <w:p w:rsidR="00BF4FA4" w:rsidRDefault="00BF4FA4" w:rsidP="00872455">
      <w:pPr>
        <w:rPr>
          <w:rFonts w:hint="eastAsia"/>
          <w:sz w:val="24"/>
          <w:szCs w:val="24"/>
        </w:rPr>
      </w:pPr>
      <w:bookmarkStart w:id="0" w:name="_GoBack"/>
      <w:bookmarkEnd w:id="0"/>
    </w:p>
    <w:p w:rsidR="00BF4FA4" w:rsidRPr="003F743D" w:rsidRDefault="00BF4FA4" w:rsidP="00872455">
      <w:pPr>
        <w:rPr>
          <w:rFonts w:hint="eastAsia"/>
          <w:sz w:val="24"/>
          <w:szCs w:val="24"/>
        </w:rPr>
      </w:pPr>
    </w:p>
    <w:p w:rsidR="00872455" w:rsidRPr="003F743D" w:rsidRDefault="00872455" w:rsidP="00872455">
      <w:pPr>
        <w:rPr>
          <w:sz w:val="24"/>
          <w:szCs w:val="24"/>
        </w:rPr>
      </w:pPr>
      <w:r w:rsidRPr="003F743D">
        <w:rPr>
          <w:sz w:val="24"/>
          <w:szCs w:val="24"/>
        </w:rPr>
        <w:t>Dear Senior Colleagues,</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The inaugural APEC Healthy Women, Healthy Economies Research Prize is now accepting applications for outstanding research that strives to improve women’s health, economic wellbeing, and inclusive growth. The winning entry will receive USD $20,000 and two runners-up will receive USD $5,000 each.</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Please forward this message to your colleagues and students who are interested in women's wellbeing, workforce, and gender-based research.</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[Theme]</w:t>
      </w:r>
    </w:p>
    <w:p w:rsidR="00872455" w:rsidRPr="003F743D" w:rsidRDefault="00872455" w:rsidP="00872455">
      <w:pPr>
        <w:rPr>
          <w:sz w:val="24"/>
          <w:szCs w:val="24"/>
        </w:rPr>
      </w:pPr>
      <w:r w:rsidRPr="003F743D">
        <w:rPr>
          <w:sz w:val="24"/>
          <w:szCs w:val="24"/>
        </w:rPr>
        <w:t>The prize aims to highlight and spur the creation of sex-disaggregated data and gender-based research that will help decision-makers make more evidence-based policies to improve the lives of women and strengthen the regional economy.</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Based on The Healthy Women, Healthy Economies Policy Toolkit, the five research topics are:</w:t>
      </w:r>
    </w:p>
    <w:p w:rsidR="00872455" w:rsidRPr="003F743D" w:rsidRDefault="00872455" w:rsidP="00872455">
      <w:pPr>
        <w:rPr>
          <w:sz w:val="24"/>
          <w:szCs w:val="24"/>
        </w:rPr>
      </w:pPr>
      <w:r w:rsidRPr="003F743D">
        <w:rPr>
          <w:sz w:val="24"/>
          <w:szCs w:val="24"/>
        </w:rPr>
        <w:t xml:space="preserve">- </w:t>
      </w:r>
      <w:bookmarkStart w:id="1" w:name="OLE_LINK1"/>
      <w:proofErr w:type="gramStart"/>
      <w:r w:rsidRPr="003F743D">
        <w:rPr>
          <w:sz w:val="24"/>
          <w:szCs w:val="24"/>
        </w:rPr>
        <w:t>workplace</w:t>
      </w:r>
      <w:bookmarkEnd w:id="1"/>
      <w:proofErr w:type="gramEnd"/>
      <w:r w:rsidRPr="003F743D">
        <w:rPr>
          <w:sz w:val="24"/>
          <w:szCs w:val="24"/>
        </w:rPr>
        <w:t xml:space="preserve"> health and safety</w:t>
      </w:r>
    </w:p>
    <w:p w:rsidR="00872455" w:rsidRPr="003F743D" w:rsidRDefault="00872455" w:rsidP="00872455">
      <w:pPr>
        <w:rPr>
          <w:sz w:val="24"/>
          <w:szCs w:val="24"/>
        </w:rPr>
      </w:pPr>
      <w:r w:rsidRPr="003F743D">
        <w:rPr>
          <w:sz w:val="24"/>
          <w:szCs w:val="24"/>
        </w:rPr>
        <w:t xml:space="preserve">- </w:t>
      </w:r>
      <w:proofErr w:type="gramStart"/>
      <w:r w:rsidRPr="003F743D">
        <w:rPr>
          <w:sz w:val="24"/>
          <w:szCs w:val="24"/>
        </w:rPr>
        <w:t>health</w:t>
      </w:r>
      <w:proofErr w:type="gramEnd"/>
      <w:r w:rsidRPr="003F743D">
        <w:rPr>
          <w:sz w:val="24"/>
          <w:szCs w:val="24"/>
        </w:rPr>
        <w:t xml:space="preserve"> awareness and access</w:t>
      </w:r>
    </w:p>
    <w:p w:rsidR="00872455" w:rsidRPr="003F743D" w:rsidRDefault="00872455" w:rsidP="00872455">
      <w:pPr>
        <w:rPr>
          <w:sz w:val="24"/>
          <w:szCs w:val="24"/>
        </w:rPr>
      </w:pPr>
      <w:r w:rsidRPr="003F743D">
        <w:rPr>
          <w:sz w:val="24"/>
          <w:szCs w:val="24"/>
        </w:rPr>
        <w:t xml:space="preserve">- </w:t>
      </w:r>
      <w:proofErr w:type="gramStart"/>
      <w:r w:rsidRPr="003F743D">
        <w:rPr>
          <w:sz w:val="24"/>
          <w:szCs w:val="24"/>
        </w:rPr>
        <w:t>sexual</w:t>
      </w:r>
      <w:proofErr w:type="gramEnd"/>
      <w:r w:rsidRPr="003F743D">
        <w:rPr>
          <w:sz w:val="24"/>
          <w:szCs w:val="24"/>
        </w:rPr>
        <w:t xml:space="preserve"> and reproductive health </w:t>
      </w:r>
    </w:p>
    <w:p w:rsidR="00872455" w:rsidRPr="003F743D" w:rsidRDefault="00872455" w:rsidP="00872455">
      <w:pPr>
        <w:rPr>
          <w:sz w:val="24"/>
          <w:szCs w:val="24"/>
        </w:rPr>
      </w:pPr>
      <w:r w:rsidRPr="003F743D">
        <w:rPr>
          <w:sz w:val="24"/>
          <w:szCs w:val="24"/>
        </w:rPr>
        <w:t xml:space="preserve">- </w:t>
      </w:r>
      <w:proofErr w:type="gramStart"/>
      <w:r w:rsidRPr="003F743D">
        <w:rPr>
          <w:sz w:val="24"/>
          <w:szCs w:val="24"/>
        </w:rPr>
        <w:t>gender-based</w:t>
      </w:r>
      <w:proofErr w:type="gramEnd"/>
      <w:r w:rsidRPr="003F743D">
        <w:rPr>
          <w:sz w:val="24"/>
          <w:szCs w:val="24"/>
        </w:rPr>
        <w:t xml:space="preserve"> </w:t>
      </w:r>
      <w:bookmarkStart w:id="2" w:name="OLE_LINK2"/>
      <w:bookmarkStart w:id="3" w:name="OLE_LINK3"/>
      <w:r w:rsidRPr="003F743D">
        <w:rPr>
          <w:sz w:val="24"/>
          <w:szCs w:val="24"/>
        </w:rPr>
        <w:t>violence</w:t>
      </w:r>
      <w:bookmarkEnd w:id="2"/>
      <w:bookmarkEnd w:id="3"/>
    </w:p>
    <w:p w:rsidR="00872455" w:rsidRPr="003F743D" w:rsidRDefault="00872455" w:rsidP="00872455">
      <w:pPr>
        <w:rPr>
          <w:sz w:val="24"/>
          <w:szCs w:val="24"/>
        </w:rPr>
      </w:pPr>
      <w:r w:rsidRPr="003F743D">
        <w:rPr>
          <w:sz w:val="24"/>
          <w:szCs w:val="24"/>
        </w:rPr>
        <w:lastRenderedPageBreak/>
        <w:t xml:space="preserve">- </w:t>
      </w:r>
      <w:proofErr w:type="gramStart"/>
      <w:r w:rsidRPr="003F743D">
        <w:rPr>
          <w:sz w:val="24"/>
          <w:szCs w:val="24"/>
        </w:rPr>
        <w:t>work</w:t>
      </w:r>
      <w:proofErr w:type="gramEnd"/>
      <w:r w:rsidRPr="003F743D">
        <w:rPr>
          <w:sz w:val="24"/>
          <w:szCs w:val="24"/>
        </w:rPr>
        <w:t xml:space="preserve">/ life balance </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[Requirement]</w:t>
      </w:r>
    </w:p>
    <w:p w:rsidR="00872455" w:rsidRPr="003F743D" w:rsidRDefault="00872455" w:rsidP="00872455">
      <w:pPr>
        <w:rPr>
          <w:sz w:val="24"/>
          <w:szCs w:val="24"/>
        </w:rPr>
      </w:pPr>
      <w:r w:rsidRPr="003F743D">
        <w:rPr>
          <w:sz w:val="24"/>
          <w:szCs w:val="24"/>
        </w:rPr>
        <w:t>Individuals must submit an original piece of research that is no older than two years as of January 1, 2019. Applicants may be individuals or teams (with one leader listed) who are from an APEC economy. No academic background required.</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The research must be evidence-based and addresses at least one of the topics outlined in the toolkit. The research must be submitted in English.</w:t>
      </w:r>
    </w:p>
    <w:p w:rsidR="00872455" w:rsidRPr="003F743D" w:rsidRDefault="00872455" w:rsidP="00872455">
      <w:pPr>
        <w:rPr>
          <w:sz w:val="24"/>
          <w:szCs w:val="24"/>
        </w:rPr>
      </w:pPr>
    </w:p>
    <w:p w:rsidR="003F743D" w:rsidRPr="003F743D" w:rsidRDefault="00872455" w:rsidP="00872455">
      <w:pPr>
        <w:rPr>
          <w:rFonts w:hint="eastAsia"/>
          <w:sz w:val="24"/>
          <w:szCs w:val="24"/>
        </w:rPr>
      </w:pPr>
      <w:r w:rsidRPr="003F743D">
        <w:rPr>
          <w:sz w:val="24"/>
          <w:szCs w:val="24"/>
        </w:rPr>
        <w:t>Fin</w:t>
      </w:r>
      <w:r w:rsidR="003F743D">
        <w:rPr>
          <w:sz w:val="24"/>
          <w:szCs w:val="24"/>
        </w:rPr>
        <w:t>d out the full requirement here</w:t>
      </w:r>
      <w:r w:rsidR="003F743D">
        <w:rPr>
          <w:rFonts w:hint="eastAsia"/>
          <w:sz w:val="24"/>
          <w:szCs w:val="24"/>
        </w:rPr>
        <w:t>:</w:t>
      </w:r>
    </w:p>
    <w:p w:rsidR="00872455" w:rsidRPr="009D5FB0" w:rsidRDefault="003F743D" w:rsidP="00872455">
      <w:pPr>
        <w:rPr>
          <w:sz w:val="24"/>
          <w:szCs w:val="24"/>
        </w:rPr>
      </w:pPr>
      <w:hyperlink r:id="rId8" w:history="1">
        <w:r w:rsidRPr="008D3356">
          <w:rPr>
            <w:rStyle w:val="a5"/>
            <w:sz w:val="24"/>
            <w:szCs w:val="24"/>
          </w:rPr>
          <w:t>https://www.apec.org/healthywomen/HWHE_Prize</w:t>
        </w:r>
      </w:hyperlink>
    </w:p>
    <w:p w:rsidR="00872455" w:rsidRPr="003F743D" w:rsidRDefault="00872455" w:rsidP="00872455">
      <w:pPr>
        <w:rPr>
          <w:sz w:val="24"/>
          <w:szCs w:val="24"/>
        </w:rPr>
      </w:pPr>
      <w:proofErr w:type="gramStart"/>
      <w:r w:rsidRPr="003F743D">
        <w:rPr>
          <w:sz w:val="24"/>
          <w:szCs w:val="24"/>
        </w:rPr>
        <w:t>Must be an APEC member economy.</w:t>
      </w:r>
      <w:proofErr w:type="gramEnd"/>
      <w:r w:rsidRPr="003F743D">
        <w:rPr>
          <w:sz w:val="24"/>
          <w:szCs w:val="24"/>
        </w:rPr>
        <w:cr/>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[Submission &amp; Deadline]</w:t>
      </w:r>
    </w:p>
    <w:p w:rsidR="00872455" w:rsidRDefault="00872455" w:rsidP="00872455">
      <w:pPr>
        <w:rPr>
          <w:rFonts w:hint="eastAsia"/>
          <w:sz w:val="24"/>
          <w:szCs w:val="24"/>
        </w:rPr>
      </w:pPr>
      <w:r w:rsidRPr="003F743D">
        <w:rPr>
          <w:sz w:val="24"/>
          <w:szCs w:val="24"/>
        </w:rPr>
        <w:t>To submit yo</w:t>
      </w:r>
      <w:r w:rsidR="009D5FB0">
        <w:rPr>
          <w:sz w:val="24"/>
          <w:szCs w:val="24"/>
        </w:rPr>
        <w:t>ur application form, click here</w:t>
      </w:r>
      <w:r w:rsidR="009D5FB0">
        <w:rPr>
          <w:rFonts w:hint="eastAsia"/>
          <w:sz w:val="24"/>
          <w:szCs w:val="24"/>
        </w:rPr>
        <w:t>:</w:t>
      </w:r>
    </w:p>
    <w:p w:rsidR="003F743D" w:rsidRDefault="009D5FB0" w:rsidP="00872455">
      <w:pPr>
        <w:rPr>
          <w:rFonts w:hint="eastAsia"/>
          <w:sz w:val="24"/>
          <w:szCs w:val="24"/>
        </w:rPr>
      </w:pPr>
      <w:hyperlink r:id="rId9" w:history="1">
        <w:r w:rsidRPr="008D3356">
          <w:rPr>
            <w:rStyle w:val="a5"/>
            <w:sz w:val="24"/>
            <w:szCs w:val="24"/>
          </w:rPr>
          <w:t>https://www.apec.org/healthywomen/HWHE_Prize</w:t>
        </w:r>
      </w:hyperlink>
    </w:p>
    <w:p w:rsidR="00872455" w:rsidRPr="003F743D" w:rsidRDefault="00872455" w:rsidP="00872455">
      <w:pPr>
        <w:rPr>
          <w:sz w:val="24"/>
          <w:szCs w:val="24"/>
        </w:rPr>
      </w:pPr>
      <w:r w:rsidRPr="003F743D">
        <w:rPr>
          <w:sz w:val="24"/>
          <w:szCs w:val="24"/>
        </w:rPr>
        <w:t>The deadline to submit applications is July 5, 2019.</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[Prize]</w:t>
      </w:r>
    </w:p>
    <w:p w:rsidR="00872455" w:rsidRPr="003F743D" w:rsidRDefault="00872455" w:rsidP="00872455">
      <w:pPr>
        <w:rPr>
          <w:sz w:val="24"/>
          <w:szCs w:val="24"/>
        </w:rPr>
      </w:pPr>
      <w:r w:rsidRPr="003F743D">
        <w:rPr>
          <w:sz w:val="24"/>
          <w:szCs w:val="24"/>
        </w:rPr>
        <w:t xml:space="preserve">The winner of the prize will win USD $20,000, while the 2 runners-up will win USD $5,000 each. If the winner or runner up is from government then the prize money will be given instead to NGOs. See details </w:t>
      </w:r>
      <w:r w:rsidR="009D5FB0">
        <w:rPr>
          <w:rFonts w:hint="eastAsia"/>
          <w:sz w:val="24"/>
          <w:szCs w:val="24"/>
        </w:rPr>
        <w:t>at that website</w:t>
      </w:r>
      <w:r w:rsidRPr="003F743D">
        <w:rPr>
          <w:sz w:val="24"/>
          <w:szCs w:val="24"/>
        </w:rPr>
        <w:t>.</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 xml:space="preserve">The top three finalists will have the opportunity to present their research to members of the APEC Women and the Economy Forum in La Serena, Chile. The prize winner will be announced at the annual Women Leaders’ APEC Roundtable during the 2019 APEC CEO Summit in Santiago, Chile in November 2019. </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 xml:space="preserve">APEC CEO Summit is Asia-Pacific's most influential meeting of business and government leaders. </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[Contact]</w:t>
      </w:r>
    </w:p>
    <w:p w:rsidR="00872455" w:rsidRPr="003F743D" w:rsidRDefault="00872455" w:rsidP="00872455">
      <w:pPr>
        <w:rPr>
          <w:sz w:val="24"/>
          <w:szCs w:val="24"/>
        </w:rPr>
      </w:pPr>
      <w:r w:rsidRPr="003F743D">
        <w:rPr>
          <w:sz w:val="24"/>
          <w:szCs w:val="24"/>
        </w:rPr>
        <w:t>For more information, please visit the APEC Healthy Women, Healthy Economies website.</w:t>
      </w:r>
    </w:p>
    <w:p w:rsidR="00872455" w:rsidRPr="003F743D" w:rsidRDefault="00872455" w:rsidP="00872455">
      <w:pPr>
        <w:rPr>
          <w:sz w:val="24"/>
          <w:szCs w:val="24"/>
        </w:rPr>
      </w:pPr>
      <w:r w:rsidRPr="003F743D">
        <w:rPr>
          <w:sz w:val="24"/>
          <w:szCs w:val="24"/>
        </w:rPr>
        <w:t xml:space="preserve">Contact </w:t>
      </w:r>
      <w:r w:rsidRPr="009E7827">
        <w:rPr>
          <w:sz w:val="24"/>
          <w:szCs w:val="24"/>
          <w:u w:val="single"/>
        </w:rPr>
        <w:t>HWHE@crowell.com</w:t>
      </w:r>
      <w:r w:rsidRPr="003F743D">
        <w:rPr>
          <w:sz w:val="24"/>
          <w:szCs w:val="24"/>
        </w:rPr>
        <w:t xml:space="preserve"> with any questions.</w:t>
      </w:r>
    </w:p>
    <w:p w:rsidR="00872455" w:rsidRPr="003F743D" w:rsidRDefault="00872455" w:rsidP="00872455">
      <w:pPr>
        <w:rPr>
          <w:sz w:val="24"/>
          <w:szCs w:val="24"/>
        </w:rPr>
      </w:pPr>
      <w:r w:rsidRPr="003F743D">
        <w:rPr>
          <w:sz w:val="24"/>
          <w:szCs w:val="24"/>
        </w:rPr>
        <w:t xml:space="preserve"> </w:t>
      </w: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 xml:space="preserve"> </w:t>
      </w: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 xml:space="preserve"> </w:t>
      </w: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 xml:space="preserve"> </w:t>
      </w: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r w:rsidRPr="003F743D">
        <w:rPr>
          <w:sz w:val="24"/>
          <w:szCs w:val="24"/>
        </w:rPr>
        <w:t xml:space="preserve"> </w:t>
      </w: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872455" w:rsidRPr="003F743D" w:rsidRDefault="00872455" w:rsidP="00872455">
      <w:pPr>
        <w:rPr>
          <w:sz w:val="24"/>
          <w:szCs w:val="24"/>
        </w:rPr>
      </w:pPr>
    </w:p>
    <w:p w:rsidR="00C31A0B" w:rsidRPr="003F743D" w:rsidRDefault="00C31A0B">
      <w:pPr>
        <w:rPr>
          <w:sz w:val="24"/>
          <w:szCs w:val="24"/>
        </w:rPr>
      </w:pPr>
    </w:p>
    <w:p w:rsidR="003F743D" w:rsidRPr="003F743D" w:rsidRDefault="003F743D">
      <w:pPr>
        <w:rPr>
          <w:sz w:val="24"/>
          <w:szCs w:val="24"/>
        </w:rPr>
      </w:pPr>
    </w:p>
    <w:sectPr w:rsidR="003F743D" w:rsidRPr="003F7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C90"/>
    <w:multiLevelType w:val="hybridMultilevel"/>
    <w:tmpl w:val="6600798C"/>
    <w:lvl w:ilvl="0" w:tplc="B8D2D2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82"/>
    <w:rsid w:val="0014718D"/>
    <w:rsid w:val="0028699B"/>
    <w:rsid w:val="003F743D"/>
    <w:rsid w:val="004E3E0A"/>
    <w:rsid w:val="005462D8"/>
    <w:rsid w:val="007A7076"/>
    <w:rsid w:val="00872455"/>
    <w:rsid w:val="008F2082"/>
    <w:rsid w:val="00953D1C"/>
    <w:rsid w:val="009B1262"/>
    <w:rsid w:val="009D5FB0"/>
    <w:rsid w:val="009E7827"/>
    <w:rsid w:val="00AF4A5C"/>
    <w:rsid w:val="00BF4FA4"/>
    <w:rsid w:val="00C31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99B"/>
    <w:pPr>
      <w:ind w:firstLineChars="200" w:firstLine="420"/>
    </w:pPr>
  </w:style>
  <w:style w:type="paragraph" w:styleId="a4">
    <w:name w:val="Normal (Web)"/>
    <w:basedOn w:val="a"/>
    <w:uiPriority w:val="99"/>
    <w:unhideWhenUsed/>
    <w:rsid w:val="00953D1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F743D"/>
    <w:rPr>
      <w:color w:val="0000FF" w:themeColor="hyperlink"/>
      <w:u w:val="single"/>
    </w:rPr>
  </w:style>
  <w:style w:type="paragraph" w:styleId="a6">
    <w:name w:val="Balloon Text"/>
    <w:basedOn w:val="a"/>
    <w:link w:val="Char"/>
    <w:uiPriority w:val="99"/>
    <w:semiHidden/>
    <w:unhideWhenUsed/>
    <w:rsid w:val="00BF4FA4"/>
    <w:rPr>
      <w:sz w:val="18"/>
      <w:szCs w:val="18"/>
    </w:rPr>
  </w:style>
  <w:style w:type="character" w:customStyle="1" w:styleId="Char">
    <w:name w:val="批注框文本 Char"/>
    <w:basedOn w:val="a0"/>
    <w:link w:val="a6"/>
    <w:uiPriority w:val="99"/>
    <w:semiHidden/>
    <w:rsid w:val="00BF4F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99B"/>
    <w:pPr>
      <w:ind w:firstLineChars="200" w:firstLine="420"/>
    </w:pPr>
  </w:style>
  <w:style w:type="paragraph" w:styleId="a4">
    <w:name w:val="Normal (Web)"/>
    <w:basedOn w:val="a"/>
    <w:uiPriority w:val="99"/>
    <w:unhideWhenUsed/>
    <w:rsid w:val="00953D1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3F743D"/>
    <w:rPr>
      <w:color w:val="0000FF" w:themeColor="hyperlink"/>
      <w:u w:val="single"/>
    </w:rPr>
  </w:style>
  <w:style w:type="paragraph" w:styleId="a6">
    <w:name w:val="Balloon Text"/>
    <w:basedOn w:val="a"/>
    <w:link w:val="Char"/>
    <w:uiPriority w:val="99"/>
    <w:semiHidden/>
    <w:unhideWhenUsed/>
    <w:rsid w:val="00BF4FA4"/>
    <w:rPr>
      <w:sz w:val="18"/>
      <w:szCs w:val="18"/>
    </w:rPr>
  </w:style>
  <w:style w:type="character" w:customStyle="1" w:styleId="Char">
    <w:name w:val="批注框文本 Char"/>
    <w:basedOn w:val="a0"/>
    <w:link w:val="a6"/>
    <w:uiPriority w:val="99"/>
    <w:semiHidden/>
    <w:rsid w:val="00BF4F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68051">
      <w:bodyDiv w:val="1"/>
      <w:marLeft w:val="0"/>
      <w:marRight w:val="0"/>
      <w:marTop w:val="0"/>
      <w:marBottom w:val="0"/>
      <w:divBdr>
        <w:top w:val="none" w:sz="0" w:space="0" w:color="auto"/>
        <w:left w:val="none" w:sz="0" w:space="0" w:color="auto"/>
        <w:bottom w:val="none" w:sz="0" w:space="0" w:color="auto"/>
        <w:right w:val="none" w:sz="0" w:space="0" w:color="auto"/>
      </w:divBdr>
    </w:div>
    <w:div w:id="1039627577">
      <w:bodyDiv w:val="1"/>
      <w:marLeft w:val="0"/>
      <w:marRight w:val="0"/>
      <w:marTop w:val="0"/>
      <w:marBottom w:val="0"/>
      <w:divBdr>
        <w:top w:val="none" w:sz="0" w:space="0" w:color="auto"/>
        <w:left w:val="none" w:sz="0" w:space="0" w:color="auto"/>
        <w:bottom w:val="none" w:sz="0" w:space="0" w:color="auto"/>
        <w:right w:val="none" w:sz="0" w:space="0" w:color="auto"/>
      </w:divBdr>
      <w:divsChild>
        <w:div w:id="32317394">
          <w:marLeft w:val="0"/>
          <w:marRight w:val="0"/>
          <w:marTop w:val="0"/>
          <w:marBottom w:val="0"/>
          <w:divBdr>
            <w:top w:val="none" w:sz="0" w:space="0" w:color="auto"/>
            <w:left w:val="none" w:sz="0" w:space="0" w:color="auto"/>
            <w:bottom w:val="none" w:sz="0" w:space="0" w:color="auto"/>
            <w:right w:val="none" w:sz="0" w:space="0" w:color="auto"/>
          </w:divBdr>
          <w:divsChild>
            <w:div w:id="1691031527">
              <w:marLeft w:val="0"/>
              <w:marRight w:val="0"/>
              <w:marTop w:val="0"/>
              <w:marBottom w:val="0"/>
              <w:divBdr>
                <w:top w:val="none" w:sz="0" w:space="0" w:color="auto"/>
                <w:left w:val="none" w:sz="0" w:space="0" w:color="auto"/>
                <w:bottom w:val="none" w:sz="0" w:space="0" w:color="auto"/>
                <w:right w:val="none" w:sz="0" w:space="0" w:color="auto"/>
              </w:divBdr>
              <w:divsChild>
                <w:div w:id="842745946">
                  <w:marLeft w:val="0"/>
                  <w:marRight w:val="0"/>
                  <w:marTop w:val="0"/>
                  <w:marBottom w:val="0"/>
                  <w:divBdr>
                    <w:top w:val="none" w:sz="0" w:space="0" w:color="auto"/>
                    <w:left w:val="none" w:sz="0" w:space="0" w:color="auto"/>
                    <w:bottom w:val="none" w:sz="0" w:space="0" w:color="auto"/>
                    <w:right w:val="none" w:sz="0" w:space="0" w:color="auto"/>
                  </w:divBdr>
                </w:div>
                <w:div w:id="981424266">
                  <w:marLeft w:val="0"/>
                  <w:marRight w:val="0"/>
                  <w:marTop w:val="0"/>
                  <w:marBottom w:val="0"/>
                  <w:divBdr>
                    <w:top w:val="none" w:sz="0" w:space="0" w:color="auto"/>
                    <w:left w:val="none" w:sz="0" w:space="0" w:color="auto"/>
                    <w:bottom w:val="none" w:sz="0" w:space="0" w:color="auto"/>
                    <w:right w:val="none" w:sz="0" w:space="0" w:color="auto"/>
                  </w:divBdr>
                </w:div>
                <w:div w:id="13413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ec.org/healthywomen/HWHE_Prize"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u.us6.list-manage.com/track/click?u=7251ff0af2ea5314dd7f5b33b&amp;id=979fe27ed7&amp;e=ea9a2b132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ec.org/healthywomen/HWHE_Priz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12</cp:revision>
  <dcterms:created xsi:type="dcterms:W3CDTF">2019-06-12T02:42:00Z</dcterms:created>
  <dcterms:modified xsi:type="dcterms:W3CDTF">2019-06-12T03:38:00Z</dcterms:modified>
</cp:coreProperties>
</file>